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A6A68" w14:textId="77777777" w:rsidR="00AF6981" w:rsidRDefault="00AF6981" w:rsidP="00FB2750">
      <w:pPr>
        <w:jc w:val="center"/>
        <w:rPr>
          <w:b/>
          <w:color w:val="000090"/>
          <w:sz w:val="28"/>
          <w:szCs w:val="28"/>
        </w:rPr>
      </w:pPr>
    </w:p>
    <w:p w14:paraId="38BD294A" w14:textId="77777777" w:rsidR="00FB2750" w:rsidRPr="00840E72" w:rsidRDefault="00FB2750" w:rsidP="00FB2750">
      <w:pPr>
        <w:jc w:val="center"/>
        <w:rPr>
          <w:b/>
          <w:color w:val="000000" w:themeColor="text1"/>
          <w:sz w:val="28"/>
          <w:szCs w:val="28"/>
        </w:rPr>
      </w:pPr>
      <w:r w:rsidRPr="00840E72">
        <w:rPr>
          <w:b/>
          <w:color w:val="000000" w:themeColor="text1"/>
          <w:sz w:val="28"/>
          <w:szCs w:val="28"/>
        </w:rPr>
        <w:t>Banning Sale of Flavored Tobacco Products</w:t>
      </w:r>
    </w:p>
    <w:p w14:paraId="4BE5D68C" w14:textId="77777777" w:rsidR="00FB2750" w:rsidRPr="00840E72" w:rsidRDefault="00FB2750" w:rsidP="00FB2750">
      <w:pPr>
        <w:jc w:val="center"/>
        <w:rPr>
          <w:b/>
          <w:color w:val="000000" w:themeColor="text1"/>
        </w:rPr>
      </w:pPr>
    </w:p>
    <w:p w14:paraId="4B648A75" w14:textId="77777777" w:rsidR="00FB2750" w:rsidRPr="00840E72" w:rsidRDefault="00FB2750" w:rsidP="00FB2750">
      <w:pPr>
        <w:jc w:val="center"/>
        <w:rPr>
          <w:b/>
          <w:color w:val="000000" w:themeColor="text1"/>
          <w:u w:val="single"/>
        </w:rPr>
      </w:pPr>
      <w:r w:rsidRPr="00840E72">
        <w:rPr>
          <w:b/>
          <w:color w:val="000000" w:themeColor="text1"/>
          <w:u w:val="single"/>
        </w:rPr>
        <w:t>Background</w:t>
      </w:r>
    </w:p>
    <w:p w14:paraId="6B207CEC" w14:textId="77777777" w:rsidR="00FB2750" w:rsidRPr="00840E72" w:rsidRDefault="00FB2750" w:rsidP="00FB2750">
      <w:pPr>
        <w:rPr>
          <w:color w:val="000000" w:themeColor="text1"/>
          <w:sz w:val="20"/>
          <w:szCs w:val="20"/>
        </w:rPr>
      </w:pPr>
    </w:p>
    <w:p w14:paraId="58656271" w14:textId="01D5B4B5" w:rsidR="00FB2750" w:rsidRPr="00840E72" w:rsidRDefault="00FB2750" w:rsidP="00FB2750">
      <w:pPr>
        <w:numPr>
          <w:ilvl w:val="0"/>
          <w:numId w:val="1"/>
        </w:numPr>
        <w:ind w:left="720" w:right="90" w:hanging="450"/>
        <w:rPr>
          <w:color w:val="000000" w:themeColor="text1"/>
          <w:sz w:val="23"/>
          <w:szCs w:val="23"/>
        </w:rPr>
      </w:pPr>
      <w:r w:rsidRPr="00840E72">
        <w:rPr>
          <w:color w:val="000000" w:themeColor="text1"/>
          <w:sz w:val="23"/>
          <w:szCs w:val="23"/>
        </w:rPr>
        <w:t xml:space="preserve">A ban on flavored tobacco products prevents retailers from selling products that have a “characterizing flavor” which includes a taste or aroma of various flavors including a fruit, chocolate, vanilla, honey, wine, coffee, dessert, candy and other </w:t>
      </w:r>
      <w:r w:rsidR="00B10F08" w:rsidRPr="00840E72">
        <w:rPr>
          <w:color w:val="000000" w:themeColor="text1"/>
          <w:sz w:val="23"/>
          <w:szCs w:val="23"/>
        </w:rPr>
        <w:t xml:space="preserve">flavors.  Some </w:t>
      </w:r>
      <w:r w:rsidRPr="00840E72">
        <w:rPr>
          <w:color w:val="000000" w:themeColor="text1"/>
          <w:sz w:val="23"/>
          <w:szCs w:val="23"/>
        </w:rPr>
        <w:t xml:space="preserve">flavor bans exempt </w:t>
      </w:r>
      <w:r w:rsidR="00B10F08" w:rsidRPr="00840E72">
        <w:rPr>
          <w:color w:val="000000" w:themeColor="text1"/>
          <w:sz w:val="23"/>
          <w:szCs w:val="23"/>
        </w:rPr>
        <w:t>tobacco, menth</w:t>
      </w:r>
      <w:r w:rsidR="00AF6981" w:rsidRPr="00840E72">
        <w:rPr>
          <w:color w:val="000000" w:themeColor="text1"/>
          <w:sz w:val="23"/>
          <w:szCs w:val="23"/>
        </w:rPr>
        <w:t xml:space="preserve">ol, mint or wintergreen flavors while other proposals also prohibit the sale of menthol cigarettes and mint and wintergreen smokeless tobacco products.  </w:t>
      </w:r>
      <w:r w:rsidR="00DC2EBB" w:rsidRPr="00840E72">
        <w:rPr>
          <w:color w:val="000000" w:themeColor="text1"/>
          <w:sz w:val="23"/>
          <w:szCs w:val="23"/>
        </w:rPr>
        <w:t xml:space="preserve">Flavored tobacco bans are often suggested as a way to reduce illegal underage usage or access to products. </w:t>
      </w:r>
    </w:p>
    <w:p w14:paraId="447E7ADE" w14:textId="77777777" w:rsidR="00FB2750" w:rsidRPr="00840E72" w:rsidRDefault="00FB2750" w:rsidP="00FB2750">
      <w:pPr>
        <w:ind w:left="720" w:right="90" w:hanging="450"/>
        <w:rPr>
          <w:color w:val="000000" w:themeColor="text1"/>
          <w:sz w:val="23"/>
          <w:szCs w:val="23"/>
        </w:rPr>
      </w:pPr>
    </w:p>
    <w:p w14:paraId="433C6D1E" w14:textId="77777777" w:rsidR="00FB2750" w:rsidRPr="00840E72" w:rsidRDefault="00FB2750" w:rsidP="00FB2750">
      <w:pPr>
        <w:numPr>
          <w:ilvl w:val="0"/>
          <w:numId w:val="1"/>
        </w:numPr>
        <w:ind w:left="720" w:right="90" w:hanging="450"/>
        <w:rPr>
          <w:color w:val="000000" w:themeColor="text1"/>
          <w:sz w:val="23"/>
          <w:szCs w:val="23"/>
        </w:rPr>
      </w:pPr>
      <w:r w:rsidRPr="00840E72">
        <w:rPr>
          <w:color w:val="000000" w:themeColor="text1"/>
          <w:sz w:val="23"/>
          <w:szCs w:val="23"/>
        </w:rPr>
        <w:t>Violation of a flavor ban may result in fines assessed to retailers and, for subsequent violations, may also include the suspension or revocation of the retailer’s license to sell cigarettes and tobacco products.</w:t>
      </w:r>
    </w:p>
    <w:p w14:paraId="01CFD501" w14:textId="77777777" w:rsidR="00840E72" w:rsidRPr="00840E72" w:rsidRDefault="00840E72" w:rsidP="0091037F">
      <w:pPr>
        <w:ind w:right="90"/>
        <w:rPr>
          <w:b/>
          <w:color w:val="000000" w:themeColor="text1"/>
          <w:u w:val="single"/>
        </w:rPr>
      </w:pPr>
    </w:p>
    <w:p w14:paraId="615EB8C7" w14:textId="4CDC16B7" w:rsidR="0091037F" w:rsidRPr="00840E72" w:rsidRDefault="0091037F" w:rsidP="00840E72">
      <w:pPr>
        <w:ind w:right="90"/>
        <w:jc w:val="center"/>
        <w:rPr>
          <w:color w:val="000000" w:themeColor="text1"/>
          <w:u w:val="single"/>
        </w:rPr>
      </w:pPr>
      <w:bookmarkStart w:id="0" w:name="_GoBack"/>
      <w:bookmarkEnd w:id="0"/>
      <w:r w:rsidRPr="00840E72">
        <w:rPr>
          <w:b/>
          <w:color w:val="000000" w:themeColor="text1"/>
          <w:u w:val="single"/>
        </w:rPr>
        <w:t xml:space="preserve">Traditional Flavored Tobacco Products Should be Removed from the </w:t>
      </w:r>
      <w:r w:rsidR="00840E72">
        <w:rPr>
          <w:b/>
          <w:color w:val="000000" w:themeColor="text1"/>
          <w:u w:val="single"/>
        </w:rPr>
        <w:t>P</w:t>
      </w:r>
      <w:r w:rsidRPr="00840E72">
        <w:rPr>
          <w:b/>
          <w:color w:val="000000" w:themeColor="text1"/>
          <w:u w:val="single"/>
        </w:rPr>
        <w:t xml:space="preserve">roposed </w:t>
      </w:r>
      <w:r w:rsidR="00840E72">
        <w:rPr>
          <w:b/>
          <w:color w:val="000000" w:themeColor="text1"/>
          <w:u w:val="single"/>
        </w:rPr>
        <w:t>B</w:t>
      </w:r>
      <w:r w:rsidRPr="00840E72">
        <w:rPr>
          <w:b/>
          <w:color w:val="000000" w:themeColor="text1"/>
          <w:u w:val="single"/>
        </w:rPr>
        <w:t>an</w:t>
      </w:r>
    </w:p>
    <w:p w14:paraId="09E39A77" w14:textId="77777777" w:rsidR="0091037F" w:rsidRPr="00840E72" w:rsidRDefault="0091037F" w:rsidP="0091037F">
      <w:pPr>
        <w:ind w:right="90"/>
        <w:rPr>
          <w:color w:val="000000" w:themeColor="text1"/>
          <w:sz w:val="23"/>
          <w:szCs w:val="23"/>
        </w:rPr>
      </w:pPr>
    </w:p>
    <w:p w14:paraId="7BA9777B" w14:textId="5B58217F" w:rsidR="0091037F" w:rsidRDefault="00840E72" w:rsidP="0091037F">
      <w:pPr>
        <w:ind w:right="90"/>
        <w:rPr>
          <w:color w:val="000000"/>
          <w:sz w:val="23"/>
          <w:szCs w:val="23"/>
        </w:rPr>
      </w:pPr>
      <w:r>
        <w:rPr>
          <w:color w:val="000000"/>
          <w:sz w:val="23"/>
          <w:szCs w:val="23"/>
        </w:rPr>
        <w:t>A</w:t>
      </w:r>
      <w:r w:rsidR="0091037F" w:rsidRPr="00531661">
        <w:rPr>
          <w:color w:val="000000"/>
          <w:sz w:val="23"/>
          <w:szCs w:val="23"/>
        </w:rPr>
        <w:t xml:space="preserve">ddressing the youth vaping epidemic should not lead local governments to overextend to other tobacco products.  Banning the sale of traditional flavored tobacco products, like menthol cigarettes and flavored smokeless tobacco, </w:t>
      </w:r>
      <w:r>
        <w:rPr>
          <w:color w:val="000000"/>
          <w:sz w:val="23"/>
          <w:szCs w:val="23"/>
        </w:rPr>
        <w:t>flavored cigars, and pipe tobacco</w:t>
      </w:r>
      <w:r w:rsidR="0091037F" w:rsidRPr="00531661">
        <w:rPr>
          <w:color w:val="000000"/>
          <w:sz w:val="23"/>
          <w:szCs w:val="23"/>
        </w:rPr>
        <w:t xml:space="preserve"> only creates other problems.</w:t>
      </w:r>
    </w:p>
    <w:p w14:paraId="2F59A8FD" w14:textId="77777777" w:rsidR="0091037F" w:rsidRDefault="0091037F" w:rsidP="0091037F">
      <w:pPr>
        <w:ind w:right="90"/>
        <w:rPr>
          <w:color w:val="000000"/>
          <w:sz w:val="23"/>
          <w:szCs w:val="23"/>
        </w:rPr>
      </w:pPr>
    </w:p>
    <w:p w14:paraId="1DB4BCC4" w14:textId="77777777" w:rsidR="0091037F" w:rsidRDefault="0091037F" w:rsidP="0091037F">
      <w:pPr>
        <w:ind w:right="90"/>
        <w:rPr>
          <w:color w:val="000000"/>
          <w:sz w:val="23"/>
          <w:szCs w:val="23"/>
        </w:rPr>
      </w:pPr>
      <w:r w:rsidRPr="00D76224">
        <w:rPr>
          <w:color w:val="000000"/>
          <w:sz w:val="23"/>
          <w:szCs w:val="23"/>
        </w:rPr>
        <w:t xml:space="preserve">Traditional flavored tobacco products should be removed from the proposed sales ban </w:t>
      </w:r>
      <w:r>
        <w:rPr>
          <w:color w:val="000000"/>
          <w:sz w:val="23"/>
          <w:szCs w:val="23"/>
        </w:rPr>
        <w:t>because</w:t>
      </w:r>
      <w:r w:rsidRPr="00D76224">
        <w:rPr>
          <w:color w:val="000000"/>
          <w:sz w:val="23"/>
          <w:szCs w:val="23"/>
        </w:rPr>
        <w:t>:</w:t>
      </w:r>
    </w:p>
    <w:p w14:paraId="5F09EFC2" w14:textId="77777777" w:rsidR="00840E72" w:rsidRDefault="00840E72" w:rsidP="0091037F">
      <w:pPr>
        <w:ind w:right="90"/>
        <w:rPr>
          <w:color w:val="000000"/>
          <w:sz w:val="23"/>
          <w:szCs w:val="23"/>
        </w:rPr>
      </w:pPr>
    </w:p>
    <w:p w14:paraId="39BA704A" w14:textId="4A6613E7" w:rsidR="0091037F" w:rsidRDefault="0091037F" w:rsidP="0091037F">
      <w:pPr>
        <w:numPr>
          <w:ilvl w:val="0"/>
          <w:numId w:val="4"/>
        </w:numPr>
        <w:ind w:right="90"/>
        <w:rPr>
          <w:color w:val="000000"/>
          <w:sz w:val="23"/>
          <w:szCs w:val="23"/>
        </w:rPr>
      </w:pPr>
      <w:r w:rsidRPr="00D76224">
        <w:rPr>
          <w:color w:val="000000"/>
          <w:sz w:val="23"/>
          <w:szCs w:val="23"/>
        </w:rPr>
        <w:t xml:space="preserve">Traditional tobacco product youth use rates are at historic lows.  Survey data from the latest National Institutes of Health (NIH) Monitoring the Future report shows that combined 8th, 10th, and 12th grade use in last 30 Days </w:t>
      </w:r>
      <w:r w:rsidRPr="00D76224">
        <w:rPr>
          <w:i/>
          <w:color w:val="000000"/>
          <w:sz w:val="23"/>
          <w:szCs w:val="23"/>
        </w:rPr>
        <w:t>for traditional tobacco products</w:t>
      </w:r>
      <w:r>
        <w:rPr>
          <w:color w:val="000000"/>
          <w:sz w:val="23"/>
          <w:szCs w:val="23"/>
        </w:rPr>
        <w:t xml:space="preserve"> are </w:t>
      </w:r>
      <w:r w:rsidRPr="00D76224">
        <w:rPr>
          <w:color w:val="000000"/>
          <w:sz w:val="23"/>
          <w:szCs w:val="23"/>
        </w:rPr>
        <w:t>3.7% for cigarettes</w:t>
      </w:r>
      <w:r w:rsidRPr="00D4585B">
        <w:rPr>
          <w:color w:val="000000"/>
          <w:sz w:val="23"/>
          <w:szCs w:val="23"/>
        </w:rPr>
        <w:t xml:space="preserve">, </w:t>
      </w:r>
      <w:r w:rsidRPr="00D76224">
        <w:rPr>
          <w:color w:val="000000"/>
          <w:sz w:val="23"/>
          <w:szCs w:val="23"/>
        </w:rPr>
        <w:t>3.1% for smokeless tobacco</w:t>
      </w:r>
      <w:r w:rsidRPr="00D4585B">
        <w:rPr>
          <w:color w:val="000000"/>
          <w:sz w:val="23"/>
          <w:szCs w:val="23"/>
        </w:rPr>
        <w:t xml:space="preserve">, </w:t>
      </w:r>
      <w:r w:rsidRPr="00D76224">
        <w:rPr>
          <w:color w:val="000000"/>
          <w:sz w:val="23"/>
          <w:szCs w:val="23"/>
        </w:rPr>
        <w:t>2.8% for large cigars</w:t>
      </w:r>
      <w:r w:rsidRPr="00D4585B">
        <w:rPr>
          <w:color w:val="000000"/>
          <w:sz w:val="23"/>
          <w:szCs w:val="23"/>
        </w:rPr>
        <w:t xml:space="preserve">, </w:t>
      </w:r>
      <w:r w:rsidRPr="00D76224">
        <w:rPr>
          <w:color w:val="000000"/>
          <w:sz w:val="23"/>
          <w:szCs w:val="23"/>
        </w:rPr>
        <w:t>3.0% for regular little cigars</w:t>
      </w:r>
      <w:r w:rsidRPr="00D4585B">
        <w:rPr>
          <w:color w:val="000000"/>
          <w:sz w:val="23"/>
          <w:szCs w:val="23"/>
        </w:rPr>
        <w:t xml:space="preserve">, </w:t>
      </w:r>
      <w:r w:rsidRPr="00D76224">
        <w:rPr>
          <w:color w:val="000000"/>
          <w:sz w:val="23"/>
          <w:szCs w:val="23"/>
        </w:rPr>
        <w:t>4.5% for flavored little cigars</w:t>
      </w:r>
      <w:r w:rsidRPr="00D4585B">
        <w:rPr>
          <w:color w:val="000000"/>
          <w:sz w:val="23"/>
          <w:szCs w:val="23"/>
        </w:rPr>
        <w:t>.</w:t>
      </w:r>
      <w:r>
        <w:rPr>
          <w:color w:val="000000"/>
          <w:sz w:val="23"/>
          <w:szCs w:val="23"/>
        </w:rPr>
        <w:t xml:space="preserve">  </w:t>
      </w:r>
      <w:r w:rsidRPr="00D76224">
        <w:rPr>
          <w:color w:val="000000"/>
          <w:sz w:val="23"/>
          <w:szCs w:val="23"/>
        </w:rPr>
        <w:t xml:space="preserve">However, for electronic cigarettes or “vaping nicotine,” the same survey shows the rate to be 18.1% for combined 8th, 10th, and 12th grade use in last </w:t>
      </w:r>
      <w:r w:rsidR="00840E72">
        <w:rPr>
          <w:color w:val="000000"/>
          <w:sz w:val="23"/>
          <w:szCs w:val="23"/>
        </w:rPr>
        <w:t>3</w:t>
      </w:r>
      <w:r w:rsidRPr="00D76224">
        <w:rPr>
          <w:color w:val="000000"/>
          <w:sz w:val="23"/>
          <w:szCs w:val="23"/>
        </w:rPr>
        <w:t>0 Days.</w:t>
      </w:r>
    </w:p>
    <w:p w14:paraId="1B3FD187" w14:textId="77777777" w:rsidR="00840E72" w:rsidRDefault="00840E72" w:rsidP="00840E72">
      <w:pPr>
        <w:ind w:left="720" w:right="90"/>
        <w:rPr>
          <w:color w:val="000000"/>
          <w:sz w:val="23"/>
          <w:szCs w:val="23"/>
        </w:rPr>
      </w:pPr>
    </w:p>
    <w:p w14:paraId="40728C7E" w14:textId="040D85B7" w:rsidR="0091037F" w:rsidRDefault="0091037F" w:rsidP="0091037F">
      <w:pPr>
        <w:numPr>
          <w:ilvl w:val="0"/>
          <w:numId w:val="4"/>
        </w:numPr>
        <w:rPr>
          <w:color w:val="000000"/>
          <w:sz w:val="23"/>
          <w:szCs w:val="23"/>
        </w:rPr>
      </w:pPr>
      <w:r w:rsidRPr="00531661">
        <w:rPr>
          <w:color w:val="000000"/>
          <w:sz w:val="23"/>
          <w:szCs w:val="23"/>
        </w:rPr>
        <w:t xml:space="preserve">Banning the sale of flavored traditional tobacco products could shift sales of these products from law-abiding retailers to potentially illegal sources who don’t check IDs.  By potentially giving way to an illicit market, a menthol cigarette </w:t>
      </w:r>
      <w:proofErr w:type="gramStart"/>
      <w:r w:rsidRPr="00531661">
        <w:rPr>
          <w:color w:val="000000"/>
          <w:sz w:val="23"/>
          <w:szCs w:val="23"/>
        </w:rPr>
        <w:t>ban</w:t>
      </w:r>
      <w:proofErr w:type="gramEnd"/>
      <w:r w:rsidRPr="00531661">
        <w:rPr>
          <w:color w:val="000000"/>
          <w:sz w:val="23"/>
          <w:szCs w:val="23"/>
        </w:rPr>
        <w:t xml:space="preserve"> and ban on flavored traditional tobacco products like </w:t>
      </w:r>
      <w:r w:rsidR="00840E72">
        <w:rPr>
          <w:color w:val="000000"/>
          <w:sz w:val="23"/>
          <w:szCs w:val="23"/>
        </w:rPr>
        <w:t xml:space="preserve">smokeless tobacco, </w:t>
      </w:r>
      <w:r w:rsidRPr="00531661">
        <w:rPr>
          <w:color w:val="000000"/>
          <w:sz w:val="23"/>
          <w:szCs w:val="23"/>
        </w:rPr>
        <w:t xml:space="preserve">cigars and </w:t>
      </w:r>
      <w:r w:rsidR="00840E72">
        <w:rPr>
          <w:color w:val="000000"/>
          <w:sz w:val="23"/>
          <w:szCs w:val="23"/>
        </w:rPr>
        <w:t xml:space="preserve">pipe tobacco </w:t>
      </w:r>
      <w:r w:rsidRPr="00531661">
        <w:rPr>
          <w:color w:val="000000"/>
          <w:sz w:val="23"/>
          <w:szCs w:val="23"/>
        </w:rPr>
        <w:t>could have devastating effects in our community.</w:t>
      </w:r>
    </w:p>
    <w:p w14:paraId="49166174" w14:textId="77777777" w:rsidR="00840E72" w:rsidRDefault="00840E72" w:rsidP="00840E72">
      <w:pPr>
        <w:rPr>
          <w:color w:val="000000"/>
          <w:sz w:val="23"/>
          <w:szCs w:val="23"/>
        </w:rPr>
      </w:pPr>
    </w:p>
    <w:p w14:paraId="4940A4A6" w14:textId="2398E23D" w:rsidR="0091037F" w:rsidRPr="00D76224" w:rsidRDefault="0091037F" w:rsidP="0091037F">
      <w:pPr>
        <w:numPr>
          <w:ilvl w:val="0"/>
          <w:numId w:val="4"/>
        </w:numPr>
        <w:rPr>
          <w:color w:val="000000"/>
          <w:sz w:val="23"/>
          <w:szCs w:val="23"/>
        </w:rPr>
      </w:pPr>
      <w:r w:rsidRPr="00D4585B">
        <w:rPr>
          <w:color w:val="000000"/>
          <w:sz w:val="23"/>
          <w:szCs w:val="23"/>
        </w:rPr>
        <w:t xml:space="preserve">If traditional flavored tobacco products </w:t>
      </w:r>
      <w:r>
        <w:rPr>
          <w:color w:val="000000"/>
          <w:sz w:val="23"/>
          <w:szCs w:val="23"/>
        </w:rPr>
        <w:t xml:space="preserve">are not removed </w:t>
      </w:r>
      <w:r w:rsidRPr="00D4585B">
        <w:rPr>
          <w:color w:val="000000"/>
          <w:sz w:val="23"/>
          <w:szCs w:val="23"/>
        </w:rPr>
        <w:t xml:space="preserve">from </w:t>
      </w:r>
      <w:r>
        <w:rPr>
          <w:color w:val="000000"/>
          <w:sz w:val="23"/>
          <w:szCs w:val="23"/>
        </w:rPr>
        <w:t xml:space="preserve">proposed sales </w:t>
      </w:r>
      <w:r w:rsidRPr="00D4585B">
        <w:rPr>
          <w:color w:val="000000"/>
          <w:sz w:val="23"/>
          <w:szCs w:val="23"/>
        </w:rPr>
        <w:t>ban, adult customers will drive outside of town to buy their preferred products, and will also purchase gasoline, grocery items and beverages while there. The result would be losses far greater than the current and significant declines in gasoline and other product sales.</w:t>
      </w:r>
    </w:p>
    <w:p w14:paraId="4FF95077" w14:textId="77777777" w:rsidR="0091037F" w:rsidRDefault="0091037F" w:rsidP="0091037F">
      <w:pPr>
        <w:ind w:right="90"/>
        <w:rPr>
          <w:b/>
          <w:color w:val="4209D2"/>
          <w:u w:val="single"/>
        </w:rPr>
      </w:pPr>
    </w:p>
    <w:p w14:paraId="617039E9" w14:textId="77777777" w:rsidR="00FB2750" w:rsidRPr="003D1758" w:rsidRDefault="00FB2750" w:rsidP="00F92DAA">
      <w:pPr>
        <w:ind w:left="-90"/>
        <w:rPr>
          <w:color w:val="000000"/>
          <w:sz w:val="20"/>
          <w:szCs w:val="20"/>
        </w:rPr>
      </w:pPr>
    </w:p>
    <w:p w14:paraId="18A5F6F7" w14:textId="77777777" w:rsidR="003C7A06" w:rsidRDefault="003C7A06" w:rsidP="00FB2750">
      <w:pPr>
        <w:ind w:left="-90"/>
        <w:jc w:val="center"/>
        <w:rPr>
          <w:color w:val="000000"/>
        </w:rPr>
      </w:pPr>
    </w:p>
    <w:p w14:paraId="296A7E81" w14:textId="77777777" w:rsidR="00FB2750" w:rsidRDefault="00FB2750" w:rsidP="00FB2750">
      <w:pPr>
        <w:ind w:left="-90"/>
        <w:jc w:val="center"/>
        <w:rPr>
          <w:color w:val="000000"/>
        </w:rPr>
      </w:pPr>
      <w:r w:rsidRPr="00735308">
        <w:rPr>
          <w:noProof/>
          <w:color w:val="000000"/>
          <w:lang w:eastAsia="en-US"/>
        </w:rPr>
        <w:drawing>
          <wp:inline distT="0" distB="0" distL="0" distR="0" wp14:anchorId="10BABEA8" wp14:editId="6730FF88">
            <wp:extent cx="424180" cy="361950"/>
            <wp:effectExtent l="0" t="0" r="0" b="0"/>
            <wp:docPr id="1" name="Picture 1" descr="NATO j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 jpe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0" cy="361950"/>
                    </a:xfrm>
                    <a:prstGeom prst="rect">
                      <a:avLst/>
                    </a:prstGeom>
                    <a:noFill/>
                    <a:ln>
                      <a:noFill/>
                    </a:ln>
                  </pic:spPr>
                </pic:pic>
              </a:graphicData>
            </a:graphic>
          </wp:inline>
        </w:drawing>
      </w:r>
    </w:p>
    <w:p w14:paraId="7583F30D" w14:textId="77777777" w:rsidR="00FB2750" w:rsidRDefault="00FB2750" w:rsidP="00FB2750">
      <w:pPr>
        <w:ind w:left="-90"/>
        <w:jc w:val="center"/>
        <w:rPr>
          <w:color w:val="000000"/>
          <w:sz w:val="10"/>
          <w:szCs w:val="10"/>
        </w:rPr>
      </w:pPr>
    </w:p>
    <w:p w14:paraId="621031E8" w14:textId="77777777" w:rsidR="00FB2750" w:rsidRPr="00B4152B" w:rsidRDefault="00FB2750" w:rsidP="00FB2750">
      <w:pPr>
        <w:ind w:left="-90"/>
        <w:jc w:val="center"/>
        <w:rPr>
          <w:color w:val="000090"/>
          <w:sz w:val="18"/>
          <w:szCs w:val="18"/>
        </w:rPr>
      </w:pPr>
      <w:r>
        <w:rPr>
          <w:color w:val="000090"/>
          <w:sz w:val="18"/>
          <w:szCs w:val="18"/>
        </w:rPr>
        <w:t>Information Source:  The National Association of Tobacco Outlets, Inc.</w:t>
      </w:r>
    </w:p>
    <w:p w14:paraId="2257789C" w14:textId="77777777" w:rsidR="001704E8" w:rsidRDefault="001704E8"/>
    <w:sectPr w:rsidR="001704E8" w:rsidSect="003D0EA8">
      <w:pgSz w:w="12240" w:h="15840"/>
      <w:pgMar w:top="1008" w:right="1440" w:bottom="1008" w:left="1440" w:header="720" w:footer="720" w:gutter="0"/>
      <w:pgBorders>
        <w:top w:val="thinThickSmallGap" w:sz="48" w:space="1" w:color="auto"/>
        <w:left w:val="thinThickSmallGap" w:sz="48" w:space="4" w:color="auto"/>
        <w:bottom w:val="thickThinSmallGap" w:sz="48" w:space="1" w:color="auto"/>
        <w:right w:val="thickThinSmallGap" w:sz="48"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01728" w14:textId="77777777" w:rsidR="00062120" w:rsidRDefault="00062120" w:rsidP="0091037F">
      <w:r>
        <w:separator/>
      </w:r>
    </w:p>
  </w:endnote>
  <w:endnote w:type="continuationSeparator" w:id="0">
    <w:p w14:paraId="4D97E504" w14:textId="77777777" w:rsidR="00062120" w:rsidRDefault="00062120" w:rsidP="0091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658D" w14:textId="77777777" w:rsidR="00062120" w:rsidRDefault="00062120" w:rsidP="0091037F">
      <w:r>
        <w:separator/>
      </w:r>
    </w:p>
  </w:footnote>
  <w:footnote w:type="continuationSeparator" w:id="0">
    <w:p w14:paraId="2D61755A" w14:textId="77777777" w:rsidR="00062120" w:rsidRDefault="00062120" w:rsidP="009103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6CEB"/>
    <w:multiLevelType w:val="hybridMultilevel"/>
    <w:tmpl w:val="61F8CF4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DFF671B"/>
    <w:multiLevelType w:val="hybridMultilevel"/>
    <w:tmpl w:val="86141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80CA4"/>
    <w:multiLevelType w:val="hybridMultilevel"/>
    <w:tmpl w:val="554A8A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619C7925"/>
    <w:multiLevelType w:val="hybridMultilevel"/>
    <w:tmpl w:val="A87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50"/>
    <w:rsid w:val="00062120"/>
    <w:rsid w:val="001704E8"/>
    <w:rsid w:val="002C4C1C"/>
    <w:rsid w:val="003C103D"/>
    <w:rsid w:val="003C7A06"/>
    <w:rsid w:val="004378D4"/>
    <w:rsid w:val="0074370D"/>
    <w:rsid w:val="00840E72"/>
    <w:rsid w:val="0091037F"/>
    <w:rsid w:val="009F50A5"/>
    <w:rsid w:val="00AF6981"/>
    <w:rsid w:val="00B10F08"/>
    <w:rsid w:val="00DC2EBB"/>
    <w:rsid w:val="00F92DAA"/>
    <w:rsid w:val="00FB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AA6D"/>
  <w15:chartTrackingRefBased/>
  <w15:docId w15:val="{DF580CE6-0264-4C83-8528-719ECCAC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75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EBB"/>
    <w:pPr>
      <w:ind w:left="720"/>
      <w:contextualSpacing/>
    </w:pPr>
  </w:style>
  <w:style w:type="character" w:customStyle="1" w:styleId="st">
    <w:name w:val="st"/>
    <w:rsid w:val="0091037F"/>
  </w:style>
  <w:style w:type="paragraph" w:styleId="FootnoteText">
    <w:name w:val="footnote text"/>
    <w:basedOn w:val="Normal"/>
    <w:link w:val="FootnoteTextChar"/>
    <w:uiPriority w:val="99"/>
    <w:unhideWhenUsed/>
    <w:rsid w:val="0091037F"/>
    <w:rPr>
      <w:rFonts w:ascii="Calibri" w:eastAsia="Calibri" w:hAnsi="Calibri"/>
      <w:sz w:val="22"/>
      <w:szCs w:val="20"/>
      <w:lang w:eastAsia="en-US"/>
    </w:rPr>
  </w:style>
  <w:style w:type="character" w:customStyle="1" w:styleId="FootnoteTextChar">
    <w:name w:val="Footnote Text Char"/>
    <w:basedOn w:val="DefaultParagraphFont"/>
    <w:link w:val="FootnoteText"/>
    <w:uiPriority w:val="99"/>
    <w:rsid w:val="0091037F"/>
    <w:rPr>
      <w:rFonts w:ascii="Calibri" w:eastAsia="Calibri" w:hAnsi="Calibri" w:cs="Times New Roman"/>
      <w:szCs w:val="20"/>
    </w:rPr>
  </w:style>
  <w:style w:type="character" w:styleId="FootnoteReference">
    <w:name w:val="footnote reference"/>
    <w:uiPriority w:val="99"/>
    <w:unhideWhenUsed/>
    <w:rsid w:val="00910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Fojtik</dc:creator>
  <cp:keywords/>
  <dc:description/>
  <cp:lastModifiedBy>Tom Briant</cp:lastModifiedBy>
  <cp:revision>2</cp:revision>
  <dcterms:created xsi:type="dcterms:W3CDTF">2020-06-16T19:46:00Z</dcterms:created>
  <dcterms:modified xsi:type="dcterms:W3CDTF">2020-06-16T19:46:00Z</dcterms:modified>
</cp:coreProperties>
</file>